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34" w:rsidRPr="00A84B34" w:rsidRDefault="00982A49" w:rsidP="00A84B34">
      <w:pPr>
        <w:bidi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David" w:hAnsi="David" w:cs="David"/>
          <w:b/>
          <w:bCs/>
          <w:sz w:val="28"/>
          <w:szCs w:val="28"/>
          <w:rtl/>
        </w:rPr>
        <w:t>למה לשמר את האדריכ</w:t>
      </w:r>
      <w:r w:rsidR="00A84B34" w:rsidRPr="00A84B34">
        <w:rPr>
          <w:rFonts w:ascii="David" w:hAnsi="David" w:cs="David"/>
          <w:b/>
          <w:bCs/>
          <w:sz w:val="28"/>
          <w:szCs w:val="28"/>
          <w:rtl/>
        </w:rPr>
        <w:t>לות של האויב? על שימור וג'נטפקציה בשכונת בקעה בירושלים</w:t>
      </w:r>
    </w:p>
    <w:p w:rsidR="00A84B34" w:rsidRPr="00A84B34" w:rsidRDefault="00A84B34" w:rsidP="00A84B34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A84B34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ولماذا حفظ </w:t>
      </w:r>
      <w:r w:rsidRPr="00A84B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وصيانة </w:t>
      </w:r>
      <w:r w:rsidRPr="00A84B34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الهندسة المعمارية للعدو؟حول الحفظ والتحسين</w:t>
      </w:r>
      <w:r w:rsidRPr="00A84B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A84B34">
        <w:rPr>
          <w:rFonts w:ascii="Traditional Arabic" w:hAnsi="Traditional Arabic" w:hint="cs"/>
          <w:b/>
          <w:bCs/>
          <w:sz w:val="28"/>
          <w:szCs w:val="28"/>
          <w:rtl/>
        </w:rPr>
        <w:t>(</w:t>
      </w:r>
      <w:r w:rsidRPr="00A84B34">
        <w:rPr>
          <w:rFonts w:ascii="Traditional Arabic" w:hAnsi="Traditional Arabic"/>
          <w:b/>
          <w:bCs/>
          <w:sz w:val="28"/>
          <w:szCs w:val="28"/>
        </w:rPr>
        <w:t>gentrification</w:t>
      </w:r>
      <w:r w:rsidRPr="00A84B34">
        <w:rPr>
          <w:rFonts w:ascii="Traditional Arabic" w:hAnsi="Traditional Arabic" w:hint="cs"/>
          <w:b/>
          <w:bCs/>
          <w:sz w:val="28"/>
          <w:szCs w:val="28"/>
          <w:rtl/>
        </w:rPr>
        <w:t>)</w:t>
      </w:r>
      <w:r w:rsidRPr="00A84B34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 في حي البقعة في القدس</w:t>
      </w:r>
    </w:p>
    <w:p w:rsidR="00A84B34" w:rsidRPr="00F62172" w:rsidRDefault="00A84B34" w:rsidP="00A84B34">
      <w:pPr>
        <w:bidi/>
        <w:rPr>
          <w:rFonts w:ascii="Traditional Arabic" w:hAnsi="Traditional Arabic" w:cs="Traditional Arabic"/>
          <w:b/>
          <w:bCs/>
          <w:rtl/>
          <w:lang w:bidi="ar-JO"/>
        </w:rPr>
      </w:pPr>
    </w:p>
    <w:p w:rsidR="002076E4" w:rsidRPr="000E426F" w:rsidRDefault="002076E4" w:rsidP="002076E4">
      <w:pPr>
        <w:bidi/>
        <w:spacing w:after="120" w:line="360" w:lineRule="auto"/>
        <w:jc w:val="both"/>
        <w:rPr>
          <w:rFonts w:ascii="David" w:hAnsi="David" w:cs="David"/>
          <w:color w:val="2E74B5" w:themeColor="accent1" w:themeShade="BF"/>
          <w:sz w:val="24"/>
          <w:szCs w:val="24"/>
          <w:rtl/>
        </w:rPr>
      </w:pPr>
      <w:r w:rsidRPr="000E426F">
        <w:rPr>
          <w:rFonts w:ascii="David" w:hAnsi="David" w:cs="David"/>
          <w:color w:val="2E74B5" w:themeColor="accent1" w:themeShade="BF"/>
          <w:sz w:val="24"/>
          <w:szCs w:val="24"/>
          <w:rtl/>
        </w:rPr>
        <w:t>ד"ר הילה צבן, המכללה האקדמית כנרת</w:t>
      </w:r>
    </w:p>
    <w:p w:rsidR="001371D7" w:rsidRPr="000E426F" w:rsidRDefault="001371D7" w:rsidP="000A4129">
      <w:pPr>
        <w:bidi/>
        <w:spacing w:after="120" w:line="360" w:lineRule="auto"/>
        <w:jc w:val="both"/>
        <w:rPr>
          <w:rFonts w:asciiTheme="minorBidi" w:hAnsiTheme="minorBidi"/>
          <w:color w:val="2E74B5" w:themeColor="accent1" w:themeShade="BF"/>
          <w:sz w:val="24"/>
          <w:szCs w:val="24"/>
          <w:rtl/>
          <w:lang w:bidi="ar-JO"/>
        </w:rPr>
      </w:pPr>
      <w:r w:rsidRPr="000E426F">
        <w:rPr>
          <w:rFonts w:asciiTheme="minorBidi" w:hAnsiTheme="minorBidi" w:hint="cs"/>
          <w:color w:val="2E74B5" w:themeColor="accent1" w:themeShade="BF"/>
          <w:sz w:val="24"/>
          <w:szCs w:val="24"/>
          <w:rtl/>
          <w:lang w:bidi="ar-JO"/>
        </w:rPr>
        <w:t>د. هيلا تسبان، الكلية الاكاديمية كي</w:t>
      </w:r>
      <w:r w:rsidR="000A4129">
        <w:rPr>
          <w:rFonts w:asciiTheme="minorBidi" w:hAnsiTheme="minorBidi" w:hint="cs"/>
          <w:color w:val="2E74B5" w:themeColor="accent1" w:themeShade="BF"/>
          <w:sz w:val="24"/>
          <w:szCs w:val="24"/>
          <w:rtl/>
          <w:lang w:bidi="ar-JO"/>
        </w:rPr>
        <w:t>ني</w:t>
      </w:r>
      <w:r w:rsidRPr="000E426F">
        <w:rPr>
          <w:rFonts w:asciiTheme="minorBidi" w:hAnsiTheme="minorBidi" w:hint="cs"/>
          <w:color w:val="2E74B5" w:themeColor="accent1" w:themeShade="BF"/>
          <w:sz w:val="24"/>
          <w:szCs w:val="24"/>
          <w:rtl/>
          <w:lang w:bidi="ar-JO"/>
        </w:rPr>
        <w:t>رت</w:t>
      </w:r>
    </w:p>
    <w:p w:rsidR="00A113DD" w:rsidRDefault="00A113DD" w:rsidP="00A113DD">
      <w:pPr>
        <w:bidi/>
        <w:spacing w:after="120" w:line="360" w:lineRule="auto"/>
        <w:jc w:val="both"/>
        <w:rPr>
          <w:rFonts w:asciiTheme="minorBidi" w:hAnsiTheme="minorBidi"/>
          <w:sz w:val="24"/>
          <w:szCs w:val="24"/>
          <w:rtl/>
          <w:lang w:bidi="ar-JO"/>
        </w:rPr>
      </w:pPr>
    </w:p>
    <w:p w:rsidR="002076E4" w:rsidRPr="00A113DD" w:rsidRDefault="002076E4" w:rsidP="00DA4352">
      <w:pPr>
        <w:bidi/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A113DD">
        <w:rPr>
          <w:rFonts w:ascii="David" w:hAnsi="David" w:cs="David"/>
          <w:sz w:val="24"/>
          <w:szCs w:val="24"/>
          <w:rtl/>
        </w:rPr>
        <w:t xml:space="preserve">ההרצאה 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תתמקד בשימור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האדריכלות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הפלסטיני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ת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בירושלים ובתפקיד השימור ביצירת תהליכי ג'נטריפיקציה ושינויים אורבניים. אשאל מדוע מוסדות מדינתיים פועלים לשימור האדריכלות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של "האויב"—אדריכלות פלסטינית שנבנתה לפני 1948—על 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אף ההקשר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המורכב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של עבר בעייתי ושל סכסוך מתמשך.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טענתי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העיקרית היא שלמרות שהשימור מוצג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כפרקטיקה של בני 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תרבות,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המניעים המרכזיים מאחוריו קשורים בקומודיפיקציה של המבנים 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ו</w:t>
      </w:r>
      <w:r w:rsidR="00DA4352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ב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ערך </w:t>
      </w:r>
      <w:r w:rsidR="00DA4352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שניתן להפיק מ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ה</w:t>
      </w:r>
      <w:r w:rsidR="00DA4352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"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אותנטי</w:t>
      </w:r>
      <w:r w:rsidR="00DA4352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ות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" שלהם. הנוהג המקובל הוא "לשמר"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את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הבתים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לצד פיתוח משמעותי שלהם במטרה להגדיל את מספר יחידות הדיור</w:t>
      </w:r>
      <w:r w:rsidR="00DA4352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.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פרקטיקה זו מובילה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בהכרח לג'נטריפיקציה. יתרה מזאת, גם כאשר היבטים בלתי מוחשיים של מורשת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(סיפורים, נרטיבים, דרישות פוליטיות) 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נדחקים הצידה, </w:t>
      </w:r>
      <w:r w:rsidR="00DA4352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עצם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שימור המבנים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כרוך ב"סיכון" שהם ישמשו אתרי זיכרון בעבור פלסטינים ובעלי עניין נוספים. 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אתמקד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בהרצאתי בשכונת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 xml:space="preserve"> </w:t>
      </w:r>
      <w:r w:rsidR="00FB0FAB"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בקעה, שם האדריכלות הפלסטינית הייתה "המנוע" של תהליך ה</w:t>
      </w:r>
      <w:r w:rsidRPr="00A113DD">
        <w:rPr>
          <w:rFonts w:ascii="David" w:eastAsia="Times New Roman" w:hAnsi="David" w:cs="David"/>
          <w:color w:val="222222"/>
          <w:sz w:val="24"/>
          <w:szCs w:val="24"/>
          <w:rtl/>
          <w:lang w:eastAsia="en-GB"/>
        </w:rPr>
        <w:t>ג'נטריפיקציה.</w:t>
      </w:r>
    </w:p>
    <w:p w:rsidR="002076E4" w:rsidRPr="00A113DD" w:rsidRDefault="002076E4" w:rsidP="002076E4">
      <w:pPr>
        <w:bidi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076E4" w:rsidRPr="00A113DD" w:rsidRDefault="002076E4" w:rsidP="002076E4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A113DD">
        <w:rPr>
          <w:rFonts w:ascii="David" w:hAnsi="David" w:cs="David"/>
          <w:b/>
          <w:bCs/>
          <w:sz w:val="24"/>
          <w:szCs w:val="24"/>
          <w:rtl/>
        </w:rPr>
        <w:t xml:space="preserve">ד"ר הילה צבן </w:t>
      </w:r>
      <w:r w:rsidRPr="00A113DD">
        <w:rPr>
          <w:rFonts w:ascii="David" w:hAnsi="David" w:cs="David"/>
          <w:sz w:val="24"/>
          <w:szCs w:val="24"/>
          <w:rtl/>
        </w:rPr>
        <w:t xml:space="preserve">היא מרצה בכירה במחלקות לניהול תיירות ומלונאות ומדעי ההתנהגות במכללה האקדמית כנרת, החל משנת 2019. היא סיימה דוקטורט באוניברסיטת בן גוריון בהנחיית פרופ' ג'קי פלדמן ופרופ' חיים יעקובי בנושא: "בקעה של מטה, ירושלים של מעלה? ג'נטריפיקציה והגירה גבוהה בשכונת בקעה בירושלים", שאושר בשנת 2014. יש לה תואר ראשון ביחסים בינלאומיים ולימודים לטינו-אמריקאיים ותואר שני בסוציולוגיה ואנתרופולוגיה מהאוניברסיטה העברית. עם סיום הדוקטורט יצאה לפוסט-דוקטורט של שנתיים במימון ה- </w:t>
      </w:r>
      <w:r w:rsidRPr="00A113DD">
        <w:rPr>
          <w:rFonts w:ascii="David" w:hAnsi="David" w:cs="David"/>
          <w:sz w:val="24"/>
          <w:szCs w:val="24"/>
        </w:rPr>
        <w:t>Israel Institute</w:t>
      </w:r>
      <w:r w:rsidRPr="00A113DD">
        <w:rPr>
          <w:rFonts w:ascii="David" w:hAnsi="David" w:cs="David"/>
          <w:sz w:val="24"/>
          <w:szCs w:val="24"/>
          <w:rtl/>
        </w:rPr>
        <w:t xml:space="preserve"> ב- </w:t>
      </w:r>
      <w:r w:rsidRPr="00A113DD">
        <w:rPr>
          <w:rFonts w:ascii="David" w:hAnsi="David" w:cs="David"/>
          <w:sz w:val="24"/>
          <w:szCs w:val="24"/>
        </w:rPr>
        <w:t>SOAS, University of London</w:t>
      </w:r>
      <w:r w:rsidRPr="00A113DD">
        <w:rPr>
          <w:rFonts w:ascii="David" w:hAnsi="David" w:cs="David"/>
          <w:sz w:val="24"/>
          <w:szCs w:val="24"/>
          <w:rtl/>
        </w:rPr>
        <w:t xml:space="preserve"> ולפוסט-דוקטורט נוסף, בן שלוש שנים, מטעם ה-</w:t>
      </w:r>
      <w:r w:rsidRPr="00A113DD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A113DD">
        <w:rPr>
          <w:rFonts w:ascii="David" w:hAnsi="David" w:cs="David"/>
          <w:sz w:val="24"/>
          <w:szCs w:val="24"/>
        </w:rPr>
        <w:t>Leverhulme</w:t>
      </w:r>
      <w:proofErr w:type="spellEnd"/>
      <w:r w:rsidRPr="00A113DD">
        <w:rPr>
          <w:rFonts w:ascii="David" w:hAnsi="David" w:cs="David"/>
          <w:sz w:val="24"/>
          <w:szCs w:val="24"/>
        </w:rPr>
        <w:t xml:space="preserve"> Trust </w:t>
      </w:r>
      <w:r w:rsidRPr="00A113DD">
        <w:rPr>
          <w:rFonts w:ascii="David" w:hAnsi="David" w:cs="David"/>
          <w:sz w:val="24"/>
          <w:szCs w:val="24"/>
          <w:rtl/>
        </w:rPr>
        <w:t xml:space="preserve"> במחלקה לסוציולוגיה באוניברסיטת ווריק (</w:t>
      </w:r>
      <w:r w:rsidRPr="00A113DD">
        <w:rPr>
          <w:rFonts w:ascii="David" w:hAnsi="David" w:cs="David"/>
          <w:sz w:val="24"/>
          <w:szCs w:val="24"/>
        </w:rPr>
        <w:t>Warwick</w:t>
      </w:r>
      <w:r w:rsidRPr="00A113DD">
        <w:rPr>
          <w:rFonts w:ascii="David" w:hAnsi="David" w:cs="David"/>
          <w:sz w:val="24"/>
          <w:szCs w:val="24"/>
          <w:rtl/>
        </w:rPr>
        <w:t>)</w:t>
      </w:r>
      <w:r w:rsidRPr="00A113DD">
        <w:rPr>
          <w:rFonts w:ascii="David" w:hAnsi="David" w:cs="David"/>
          <w:sz w:val="24"/>
          <w:szCs w:val="24"/>
        </w:rPr>
        <w:t xml:space="preserve"> </w:t>
      </w:r>
      <w:r w:rsidRPr="00A113DD">
        <w:rPr>
          <w:rFonts w:ascii="David" w:hAnsi="David" w:cs="David"/>
          <w:sz w:val="24"/>
          <w:szCs w:val="24"/>
          <w:rtl/>
        </w:rPr>
        <w:t xml:space="preserve">באנגליה. מחקריה עוסקים בהשפעה של הגירה פריבילגית ושל תיירות על המרחב האורבני, בסוגיות של ג'נטריפיקציה וג'נטריפיקציה טרנס-לאומית, אזרחות שכונתית, מורשת וזיכרון במרחב האורבני. פרסומיה ראו אור בכתבי עת (ביניהם </w:t>
      </w:r>
      <w:r w:rsidRPr="00A113DD">
        <w:rPr>
          <w:rFonts w:ascii="David" w:hAnsi="David" w:cs="David"/>
          <w:sz w:val="24"/>
          <w:szCs w:val="24"/>
        </w:rPr>
        <w:t>Urban Studies, City, Journal of International Migration and Integration and International Journal of Heritage Studies</w:t>
      </w:r>
      <w:r w:rsidRPr="00A113DD">
        <w:rPr>
          <w:rFonts w:ascii="David" w:hAnsi="David" w:cs="David"/>
          <w:sz w:val="24"/>
          <w:szCs w:val="24"/>
          <w:rtl/>
        </w:rPr>
        <w:t>) ובפרקים בספרים.</w:t>
      </w:r>
    </w:p>
    <w:p w:rsidR="002076E4" w:rsidRPr="00A113DD" w:rsidRDefault="002076E4" w:rsidP="002076E4">
      <w:pPr>
        <w:bidi/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sectPr w:rsidR="002076E4" w:rsidRPr="00A1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E4"/>
    <w:rsid w:val="000A4129"/>
    <w:rsid w:val="000E426F"/>
    <w:rsid w:val="00121C88"/>
    <w:rsid w:val="001371D7"/>
    <w:rsid w:val="002076E4"/>
    <w:rsid w:val="00287B92"/>
    <w:rsid w:val="002E3BA2"/>
    <w:rsid w:val="006215E9"/>
    <w:rsid w:val="0080289F"/>
    <w:rsid w:val="00982A49"/>
    <w:rsid w:val="00A113DD"/>
    <w:rsid w:val="00A84B34"/>
    <w:rsid w:val="00DA4352"/>
    <w:rsid w:val="00DD1292"/>
    <w:rsid w:val="00E263B7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E9BE8-35FC-4217-8B50-60196728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7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מעוצב מראש תו"/>
    <w:basedOn w:val="a0"/>
    <w:link w:val="HTML"/>
    <w:uiPriority w:val="99"/>
    <w:semiHidden/>
    <w:rsid w:val="002076E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7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Zaban, Hila</dc:creator>
  <cp:keywords/>
  <dc:description/>
  <cp:lastModifiedBy>Moran Elgrassi</cp:lastModifiedBy>
  <cp:revision>2</cp:revision>
  <dcterms:created xsi:type="dcterms:W3CDTF">2020-05-11T11:50:00Z</dcterms:created>
  <dcterms:modified xsi:type="dcterms:W3CDTF">2020-05-11T11:50:00Z</dcterms:modified>
</cp:coreProperties>
</file>